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72" w:rsidRDefault="00CF1972" w:rsidP="00CC63E9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B66360" w:rsidRPr="00B66360" w:rsidRDefault="00B66360" w:rsidP="00B66360">
      <w:pPr>
        <w:jc w:val="center"/>
        <w:rPr>
          <w:rFonts w:eastAsia="Calibri"/>
          <w:b/>
          <w:sz w:val="24"/>
          <w:szCs w:val="24"/>
        </w:rPr>
      </w:pPr>
      <w:r w:rsidRPr="00B66360">
        <w:rPr>
          <w:rFonts w:eastAsia="Calibri"/>
          <w:b/>
          <w:sz w:val="24"/>
          <w:szCs w:val="24"/>
        </w:rPr>
        <w:t>PROJETO DE LEI Nº 911/2019</w:t>
      </w:r>
    </w:p>
    <w:p w:rsidR="00B66360" w:rsidRPr="00B66360" w:rsidRDefault="00B66360" w:rsidP="00B66360">
      <w:pPr>
        <w:rPr>
          <w:rFonts w:eastAsia="Calibri"/>
          <w:sz w:val="24"/>
          <w:szCs w:val="24"/>
        </w:rPr>
      </w:pPr>
    </w:p>
    <w:p w:rsidR="00B66360" w:rsidRPr="00B66360" w:rsidRDefault="00B66360" w:rsidP="00B66360">
      <w:pPr>
        <w:ind w:left="3544" w:hanging="3544"/>
        <w:jc w:val="both"/>
        <w:rPr>
          <w:rFonts w:eastAsia="Calibri"/>
          <w:b/>
          <w:sz w:val="24"/>
          <w:szCs w:val="24"/>
        </w:rPr>
      </w:pPr>
      <w:r w:rsidRPr="00B66360">
        <w:rPr>
          <w:rFonts w:eastAsia="Calibri"/>
          <w:sz w:val="24"/>
          <w:szCs w:val="24"/>
        </w:rPr>
        <w:tab/>
      </w:r>
      <w:r w:rsidRPr="00B66360">
        <w:rPr>
          <w:rFonts w:eastAsia="Calibri"/>
          <w:b/>
          <w:sz w:val="24"/>
          <w:szCs w:val="24"/>
        </w:rPr>
        <w:t>“Autoriza o Poder Executivo a contratar operação de crédito com a Caixa Econômica Federal, e da outras providencias”.</w:t>
      </w:r>
    </w:p>
    <w:p w:rsidR="00B66360" w:rsidRPr="00B66360" w:rsidRDefault="00B66360" w:rsidP="00B66360">
      <w:pPr>
        <w:ind w:left="3544" w:hanging="3544"/>
        <w:jc w:val="both"/>
        <w:rPr>
          <w:rFonts w:eastAsia="Calibri"/>
          <w:b/>
          <w:sz w:val="24"/>
          <w:szCs w:val="24"/>
        </w:rPr>
      </w:pPr>
    </w:p>
    <w:p w:rsidR="00B66360" w:rsidRDefault="00B66360" w:rsidP="00B66360">
      <w:pPr>
        <w:jc w:val="both"/>
        <w:rPr>
          <w:rFonts w:eastAsia="Calibri"/>
          <w:b/>
          <w:sz w:val="24"/>
          <w:szCs w:val="24"/>
        </w:rPr>
      </w:pPr>
      <w:r w:rsidRPr="00B66360">
        <w:rPr>
          <w:rFonts w:eastAsia="Calibri"/>
          <w:b/>
          <w:sz w:val="24"/>
          <w:szCs w:val="24"/>
        </w:rPr>
        <w:t xml:space="preserve">Art.1º - Fica o Executivo autorizado a contratar operação de crédito junto à Caixa Econômica Federal, até o valor de R$2.000.000,00 (dois milhões de reais), no âmbito do PROGRAMA FINISA- Financiamento à </w:t>
      </w:r>
      <w:proofErr w:type="spellStart"/>
      <w:proofErr w:type="gramStart"/>
      <w:r w:rsidRPr="00B66360">
        <w:rPr>
          <w:rFonts w:eastAsia="Calibri"/>
          <w:b/>
          <w:sz w:val="24"/>
          <w:szCs w:val="24"/>
        </w:rPr>
        <w:t>infra</w:t>
      </w:r>
      <w:r>
        <w:rPr>
          <w:rFonts w:eastAsia="Calibri"/>
          <w:b/>
          <w:sz w:val="24"/>
          <w:szCs w:val="24"/>
        </w:rPr>
        <w:t>-</w:t>
      </w:r>
      <w:r w:rsidRPr="00B66360">
        <w:rPr>
          <w:rFonts w:eastAsia="Calibri"/>
          <w:b/>
          <w:sz w:val="24"/>
          <w:szCs w:val="24"/>
        </w:rPr>
        <w:t>estrutura</w:t>
      </w:r>
      <w:proofErr w:type="spellEnd"/>
      <w:proofErr w:type="gramEnd"/>
      <w:r w:rsidRPr="00B66360">
        <w:rPr>
          <w:rFonts w:eastAsia="Calibri"/>
          <w:b/>
          <w:sz w:val="24"/>
          <w:szCs w:val="24"/>
        </w:rPr>
        <w:t xml:space="preserve"> e ao Saneamento, destinados à Pavimentação e urbanização de vias, aquisição de maquinas, equipamentos e veículos, construção e reformas de equipamentos urbanos, observada a legislação vigente, em especial as disposições da Lei Complementar nº101/2000.</w:t>
      </w:r>
    </w:p>
    <w:p w:rsidR="00637382" w:rsidRDefault="00637382" w:rsidP="00B66360">
      <w:pPr>
        <w:jc w:val="both"/>
        <w:rPr>
          <w:rFonts w:eastAsia="Calibri"/>
          <w:b/>
          <w:sz w:val="24"/>
          <w:szCs w:val="24"/>
        </w:rPr>
      </w:pPr>
    </w:p>
    <w:p w:rsidR="00637382" w:rsidRPr="00B66360" w:rsidRDefault="00637382" w:rsidP="00B66360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Parágrafo Único: O financiamento disponibilizado, para </w:t>
      </w:r>
      <w:proofErr w:type="spellStart"/>
      <w:proofErr w:type="gramStart"/>
      <w:r>
        <w:rPr>
          <w:rFonts w:eastAsia="Calibri"/>
          <w:b/>
          <w:sz w:val="24"/>
          <w:szCs w:val="24"/>
        </w:rPr>
        <w:t>infra-estrutura</w:t>
      </w:r>
      <w:proofErr w:type="spellEnd"/>
      <w:proofErr w:type="gramEnd"/>
      <w:r>
        <w:rPr>
          <w:rFonts w:eastAsia="Calibri"/>
          <w:b/>
          <w:sz w:val="24"/>
          <w:szCs w:val="24"/>
        </w:rPr>
        <w:t xml:space="preserve"> no município de Tapira, será especifico, para os devidos fins de edificações dos barracões no parque industrial.</w:t>
      </w:r>
    </w:p>
    <w:p w:rsidR="00B66360" w:rsidRPr="00B66360" w:rsidRDefault="00B66360" w:rsidP="00B66360">
      <w:pPr>
        <w:jc w:val="both"/>
        <w:rPr>
          <w:rFonts w:eastAsia="Calibri"/>
          <w:b/>
          <w:sz w:val="24"/>
          <w:szCs w:val="24"/>
        </w:rPr>
      </w:pPr>
    </w:p>
    <w:p w:rsidR="00B66360" w:rsidRPr="00B66360" w:rsidRDefault="00B66360" w:rsidP="00B66360">
      <w:pPr>
        <w:jc w:val="both"/>
        <w:rPr>
          <w:rFonts w:eastAsia="Calibri"/>
          <w:b/>
          <w:sz w:val="24"/>
          <w:szCs w:val="24"/>
        </w:rPr>
      </w:pPr>
      <w:r w:rsidRPr="00B66360">
        <w:rPr>
          <w:rFonts w:eastAsia="Calibri"/>
          <w:b/>
          <w:sz w:val="24"/>
          <w:szCs w:val="24"/>
        </w:rPr>
        <w:t>Art.2º - Fica o chefe do Poder Executivo Municipal autorizado a ceder à Caixa Econômica Federal, como garantia da operação de crédito de que trata esta lei, em caráter irrevogável, a modo “</w:t>
      </w:r>
      <w:proofErr w:type="gramStart"/>
      <w:r w:rsidRPr="00B66360">
        <w:rPr>
          <w:rFonts w:eastAsia="Calibri"/>
          <w:b/>
          <w:sz w:val="24"/>
          <w:szCs w:val="24"/>
        </w:rPr>
        <w:t>pro solvendo</w:t>
      </w:r>
      <w:proofErr w:type="gramEnd"/>
      <w:r w:rsidRPr="00B66360">
        <w:rPr>
          <w:rFonts w:eastAsia="Calibri"/>
          <w:b/>
          <w:sz w:val="24"/>
          <w:szCs w:val="24"/>
        </w:rPr>
        <w:t xml:space="preserve">”, as quota-parte do Fundo a que se referem os artigos 158 e 159, inciso I, alínea “b”, ou outras que venham a substituir, nos termos do inciso IV do art.167, todos da Constituição Federal, em montantes necessários para o pagamento do principal e demais encargos. </w:t>
      </w:r>
    </w:p>
    <w:p w:rsidR="00B66360" w:rsidRPr="00B66360" w:rsidRDefault="00B66360" w:rsidP="00B66360">
      <w:pPr>
        <w:jc w:val="both"/>
        <w:rPr>
          <w:rFonts w:eastAsia="Calibri"/>
          <w:b/>
          <w:sz w:val="24"/>
          <w:szCs w:val="24"/>
        </w:rPr>
      </w:pPr>
    </w:p>
    <w:p w:rsidR="00B66360" w:rsidRPr="00B66360" w:rsidRDefault="00B66360" w:rsidP="00B66360">
      <w:pPr>
        <w:jc w:val="both"/>
        <w:rPr>
          <w:rFonts w:eastAsia="Calibri"/>
          <w:b/>
          <w:sz w:val="24"/>
          <w:szCs w:val="24"/>
        </w:rPr>
      </w:pPr>
      <w:r w:rsidRPr="00B66360">
        <w:rPr>
          <w:rFonts w:eastAsia="Calibri"/>
          <w:b/>
          <w:sz w:val="24"/>
          <w:szCs w:val="24"/>
        </w:rPr>
        <w:t>Art.3º - Os recursos provenientes da operação de crédito a que se refere esta Lei deverão ser consignados como receita no Orçamento ou em créditos adicionais, nos termos do inc. II, §1º, art.32, da Lei Complementar 101/2000.</w:t>
      </w:r>
    </w:p>
    <w:p w:rsidR="00B66360" w:rsidRPr="00B66360" w:rsidRDefault="00B66360" w:rsidP="00B66360">
      <w:pPr>
        <w:jc w:val="both"/>
        <w:rPr>
          <w:rFonts w:eastAsia="Calibri"/>
          <w:b/>
          <w:sz w:val="24"/>
          <w:szCs w:val="24"/>
        </w:rPr>
      </w:pPr>
    </w:p>
    <w:p w:rsidR="00B66360" w:rsidRPr="00B66360" w:rsidRDefault="00B66360" w:rsidP="00B66360">
      <w:pPr>
        <w:jc w:val="both"/>
        <w:rPr>
          <w:rFonts w:eastAsia="Calibri"/>
          <w:b/>
          <w:sz w:val="24"/>
          <w:szCs w:val="24"/>
        </w:rPr>
      </w:pPr>
      <w:r w:rsidRPr="00B66360">
        <w:rPr>
          <w:rFonts w:eastAsia="Calibri"/>
          <w:b/>
          <w:sz w:val="24"/>
          <w:szCs w:val="24"/>
        </w:rPr>
        <w:t>Art.4º - Os orçamentos ou os créditos adicionais deverão consignar as dotações necessárias às amortizações e aos pagamentos dos encargos anuais, relativos aos contratos de financiamento a que se refere o artigo primeiro.</w:t>
      </w:r>
    </w:p>
    <w:p w:rsidR="00B66360" w:rsidRPr="00B66360" w:rsidRDefault="00B66360" w:rsidP="00B66360">
      <w:pPr>
        <w:jc w:val="both"/>
        <w:rPr>
          <w:rFonts w:eastAsia="Calibri"/>
          <w:b/>
          <w:sz w:val="24"/>
          <w:szCs w:val="24"/>
        </w:rPr>
      </w:pPr>
    </w:p>
    <w:p w:rsidR="00B66360" w:rsidRPr="00B66360" w:rsidRDefault="00B66360" w:rsidP="00B66360">
      <w:pPr>
        <w:jc w:val="both"/>
        <w:rPr>
          <w:rFonts w:eastAsia="Calibri"/>
          <w:b/>
          <w:sz w:val="24"/>
          <w:szCs w:val="24"/>
        </w:rPr>
      </w:pPr>
      <w:r w:rsidRPr="00B66360">
        <w:rPr>
          <w:rFonts w:eastAsia="Calibri"/>
          <w:b/>
          <w:sz w:val="24"/>
          <w:szCs w:val="24"/>
        </w:rPr>
        <w:t>Art.5º - Fica o Chefe do Poder Executivo autorizado a abrir créditos adicionais destinados a fazer face aos pagamentos de obrigações decorrentes da operação de crédito ora autorizada.</w:t>
      </w:r>
    </w:p>
    <w:p w:rsidR="00B66360" w:rsidRPr="00B66360" w:rsidRDefault="00B66360" w:rsidP="00B66360">
      <w:pPr>
        <w:jc w:val="both"/>
        <w:rPr>
          <w:rFonts w:eastAsia="Calibri"/>
          <w:b/>
          <w:sz w:val="24"/>
          <w:szCs w:val="24"/>
        </w:rPr>
      </w:pPr>
    </w:p>
    <w:p w:rsidR="00B66360" w:rsidRPr="00B66360" w:rsidRDefault="00B66360" w:rsidP="00B66360">
      <w:pPr>
        <w:jc w:val="both"/>
        <w:rPr>
          <w:rFonts w:eastAsia="Calibri"/>
          <w:b/>
          <w:sz w:val="24"/>
          <w:szCs w:val="24"/>
        </w:rPr>
      </w:pPr>
      <w:r w:rsidRPr="00B66360">
        <w:rPr>
          <w:rFonts w:eastAsia="Calibri"/>
          <w:b/>
          <w:sz w:val="24"/>
          <w:szCs w:val="24"/>
        </w:rPr>
        <w:t>Art.6º - Esta Lei</w:t>
      </w:r>
      <w:r>
        <w:rPr>
          <w:rFonts w:eastAsia="Calibri"/>
          <w:b/>
          <w:sz w:val="24"/>
          <w:szCs w:val="24"/>
        </w:rPr>
        <w:t xml:space="preserve"> </w:t>
      </w:r>
      <w:r w:rsidRPr="00B66360">
        <w:rPr>
          <w:rFonts w:eastAsia="Calibri"/>
          <w:b/>
          <w:sz w:val="24"/>
          <w:szCs w:val="24"/>
        </w:rPr>
        <w:t xml:space="preserve">entra em vigor na data de sua publicação, revogadas as disposições constantes da Lei nº. </w:t>
      </w:r>
      <w:r>
        <w:rPr>
          <w:rFonts w:eastAsia="Calibri"/>
          <w:b/>
          <w:sz w:val="24"/>
          <w:szCs w:val="24"/>
        </w:rPr>
        <w:t>804</w:t>
      </w:r>
      <w:r w:rsidRPr="00B66360">
        <w:rPr>
          <w:rFonts w:eastAsia="Calibri"/>
          <w:b/>
          <w:sz w:val="24"/>
          <w:szCs w:val="24"/>
        </w:rPr>
        <w:t>/201</w:t>
      </w:r>
      <w:r>
        <w:rPr>
          <w:rFonts w:eastAsia="Calibri"/>
          <w:b/>
          <w:sz w:val="24"/>
          <w:szCs w:val="24"/>
        </w:rPr>
        <w:t>8</w:t>
      </w:r>
      <w:r w:rsidRPr="00B66360">
        <w:rPr>
          <w:rFonts w:eastAsia="Calibri"/>
          <w:b/>
          <w:sz w:val="24"/>
          <w:szCs w:val="24"/>
        </w:rPr>
        <w:t>.</w:t>
      </w:r>
    </w:p>
    <w:p w:rsidR="00B66360" w:rsidRPr="00B66360" w:rsidRDefault="00B66360" w:rsidP="00B66360">
      <w:pPr>
        <w:jc w:val="both"/>
        <w:rPr>
          <w:rFonts w:eastAsia="Calibri"/>
          <w:b/>
          <w:sz w:val="24"/>
          <w:szCs w:val="24"/>
        </w:rPr>
      </w:pPr>
    </w:p>
    <w:p w:rsidR="00B66360" w:rsidRPr="00B66360" w:rsidRDefault="00B66360" w:rsidP="00B66360">
      <w:pPr>
        <w:jc w:val="both"/>
        <w:rPr>
          <w:rFonts w:eastAsia="Calibri"/>
          <w:b/>
          <w:sz w:val="24"/>
          <w:szCs w:val="24"/>
        </w:rPr>
      </w:pPr>
      <w:r w:rsidRPr="00B66360">
        <w:rPr>
          <w:rFonts w:eastAsia="Calibri"/>
          <w:b/>
          <w:sz w:val="24"/>
          <w:szCs w:val="24"/>
        </w:rPr>
        <w:t>Gabinete do Prefeito Municipal de Tapira, Estado do Paraná, aos 28 dias de fevereiro de 2019.</w:t>
      </w:r>
    </w:p>
    <w:p w:rsidR="00B66360" w:rsidRPr="00B66360" w:rsidRDefault="00B66360" w:rsidP="00B66360">
      <w:pPr>
        <w:jc w:val="both"/>
        <w:rPr>
          <w:rFonts w:eastAsia="Calibri"/>
          <w:b/>
          <w:sz w:val="24"/>
          <w:szCs w:val="24"/>
        </w:rPr>
      </w:pPr>
    </w:p>
    <w:p w:rsidR="00B66360" w:rsidRDefault="00B66360" w:rsidP="00B66360">
      <w:pPr>
        <w:jc w:val="center"/>
        <w:rPr>
          <w:rFonts w:eastAsia="Calibri"/>
          <w:b/>
          <w:sz w:val="24"/>
          <w:szCs w:val="24"/>
        </w:rPr>
      </w:pPr>
    </w:p>
    <w:p w:rsidR="00B66360" w:rsidRDefault="00B66360" w:rsidP="00B66360">
      <w:pPr>
        <w:jc w:val="center"/>
        <w:rPr>
          <w:rFonts w:eastAsia="Calibri"/>
          <w:b/>
          <w:sz w:val="24"/>
          <w:szCs w:val="24"/>
        </w:rPr>
      </w:pPr>
    </w:p>
    <w:p w:rsidR="00B66360" w:rsidRPr="00B66360" w:rsidRDefault="00B66360" w:rsidP="00B66360">
      <w:pPr>
        <w:jc w:val="center"/>
        <w:rPr>
          <w:rFonts w:eastAsia="Calibri"/>
          <w:b/>
          <w:sz w:val="24"/>
          <w:szCs w:val="24"/>
        </w:rPr>
      </w:pPr>
      <w:r w:rsidRPr="00B66360">
        <w:rPr>
          <w:rFonts w:eastAsia="Calibri"/>
          <w:b/>
          <w:sz w:val="24"/>
          <w:szCs w:val="24"/>
        </w:rPr>
        <w:t>Claudio Sidiney de Lima</w:t>
      </w:r>
    </w:p>
    <w:p w:rsidR="00B66360" w:rsidRPr="00B66360" w:rsidRDefault="00B66360" w:rsidP="00B66360">
      <w:pPr>
        <w:jc w:val="center"/>
        <w:rPr>
          <w:rFonts w:eastAsia="Calibri"/>
          <w:b/>
          <w:sz w:val="24"/>
          <w:szCs w:val="24"/>
        </w:rPr>
      </w:pPr>
      <w:r w:rsidRPr="00B66360">
        <w:rPr>
          <w:rFonts w:eastAsia="Calibri"/>
          <w:b/>
          <w:sz w:val="24"/>
          <w:szCs w:val="24"/>
        </w:rPr>
        <w:t>Prefeito Municipal</w:t>
      </w:r>
    </w:p>
    <w:p w:rsidR="00B64FD9" w:rsidRPr="00B66360" w:rsidRDefault="00B64FD9" w:rsidP="00B64FD9">
      <w:pPr>
        <w:rPr>
          <w:sz w:val="24"/>
          <w:szCs w:val="24"/>
        </w:rPr>
      </w:pPr>
    </w:p>
    <w:sectPr w:rsidR="00B64FD9" w:rsidRPr="00B66360" w:rsidSect="003D707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92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81E" w:rsidRDefault="00F4581E">
      <w:r>
        <w:separator/>
      </w:r>
    </w:p>
  </w:endnote>
  <w:endnote w:type="continuationSeparator" w:id="0">
    <w:p w:rsidR="00F4581E" w:rsidRDefault="00F4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3" w:rsidRDefault="00947C23">
    <w:pPr>
      <w:pStyle w:val="Rodap"/>
      <w:pBdr>
        <w:bottom w:val="single" w:sz="12" w:space="1" w:color="auto"/>
      </w:pBdr>
    </w:pPr>
  </w:p>
  <w:p w:rsidR="00947C23" w:rsidRDefault="00947C23">
    <w:pPr>
      <w:pStyle w:val="Rodap"/>
      <w:jc w:val="center"/>
    </w:pPr>
    <w:r>
      <w:t>TAPIRA - PARANÁ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81E" w:rsidRDefault="00F4581E">
      <w:r>
        <w:separator/>
      </w:r>
    </w:p>
  </w:footnote>
  <w:footnote w:type="continuationSeparator" w:id="0">
    <w:p w:rsidR="00F4581E" w:rsidRDefault="00F45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3" w:rsidRDefault="00F4581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25.15pt;height:520.15pt;z-index:-251658240;mso-position-horizontal:center;mso-position-horizontal-relative:margin;mso-position-vertical:center;mso-position-vertical-relative:margin" o:allowincell="f">
          <v:imagedata r:id="rId1" o:title="Brasão Colori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3" w:rsidRDefault="009B17B1">
    <w:pPr>
      <w:pStyle w:val="Cabealho"/>
      <w:ind w:left="1418"/>
      <w:jc w:val="center"/>
      <w:rPr>
        <w:b/>
        <w:sz w:val="36"/>
        <w:u w:val="single"/>
      </w:rPr>
    </w:pPr>
    <w:r>
      <w:rPr>
        <w:b/>
        <w:noProof/>
        <w:sz w:val="36"/>
        <w:u w:val="single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741045" cy="906145"/>
          <wp:effectExtent l="19050" t="0" r="1905" b="0"/>
          <wp:wrapSquare wrapText="bothSides"/>
          <wp:docPr id="3" name="Imagem 3" descr="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Colori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4581E">
      <w:rPr>
        <w:b/>
        <w:noProof/>
        <w:sz w:val="36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left:0;text-align:left;margin-left:0;margin-top:0;width:425.15pt;height:520.15pt;z-index:-251657216;mso-position-horizontal:center;mso-position-horizontal-relative:margin;mso-position-vertical:center;mso-position-vertical-relative:margin" o:allowincell="f">
          <v:imagedata r:id="rId2" o:title="Brasão Colorido" gain="19661f" blacklevel="22938f"/>
          <w10:wrap anchorx="margin" anchory="margin"/>
        </v:shape>
      </w:pict>
    </w:r>
    <w:r w:rsidR="00947C23">
      <w:rPr>
        <w:b/>
        <w:sz w:val="36"/>
        <w:u w:val="single"/>
      </w:rPr>
      <w:t>PREFEITURA MUNICIPAL DE TAPIRA</w:t>
    </w:r>
  </w:p>
  <w:p w:rsidR="00947C23" w:rsidRDefault="00947C23">
    <w:pPr>
      <w:pStyle w:val="Cabealho"/>
      <w:ind w:left="1418"/>
      <w:jc w:val="center"/>
      <w:rPr>
        <w:sz w:val="8"/>
      </w:rPr>
    </w:pPr>
  </w:p>
  <w:p w:rsidR="00947C23" w:rsidRDefault="00947C23">
    <w:pPr>
      <w:pStyle w:val="Cabealho"/>
      <w:ind w:left="1418"/>
      <w:jc w:val="center"/>
    </w:pPr>
    <w:r>
      <w:t>ESTADO DO PARANÁ</w:t>
    </w:r>
  </w:p>
  <w:p w:rsidR="00947C23" w:rsidRDefault="00947C23">
    <w:pPr>
      <w:pStyle w:val="Cabealho"/>
      <w:ind w:left="1418"/>
      <w:jc w:val="center"/>
      <w:rPr>
        <w:sz w:val="6"/>
      </w:rPr>
    </w:pPr>
  </w:p>
  <w:p w:rsidR="00947C23" w:rsidRDefault="00947C23">
    <w:pPr>
      <w:pStyle w:val="Cabealho"/>
      <w:ind w:left="1418"/>
      <w:jc w:val="center"/>
      <w:rPr>
        <w:sz w:val="20"/>
      </w:rPr>
    </w:pPr>
    <w:r>
      <w:rPr>
        <w:sz w:val="20"/>
      </w:rPr>
      <w:t>Rua Paranaguá, 518 – CEP 87830-000 – Telefone (0</w:t>
    </w:r>
    <w:r w:rsidR="009B17B1">
      <w:rPr>
        <w:sz w:val="20"/>
      </w:rPr>
      <w:t>44) 3679-</w:t>
    </w:r>
    <w:proofErr w:type="gramStart"/>
    <w:r w:rsidR="009B17B1">
      <w:rPr>
        <w:sz w:val="20"/>
      </w:rPr>
      <w:t>8000</w:t>
    </w:r>
    <w:proofErr w:type="gramEnd"/>
  </w:p>
  <w:p w:rsidR="00947C23" w:rsidRDefault="00947C23">
    <w:pPr>
      <w:pStyle w:val="Cabealho"/>
      <w:ind w:left="1418"/>
      <w:jc w:val="center"/>
      <w:rPr>
        <w:sz w:val="6"/>
      </w:rPr>
    </w:pPr>
  </w:p>
  <w:p w:rsidR="00947C23" w:rsidRDefault="00693C64">
    <w:pPr>
      <w:pStyle w:val="Cabealho"/>
      <w:ind w:left="1418"/>
      <w:jc w:val="center"/>
      <w:rPr>
        <w:sz w:val="20"/>
      </w:rPr>
    </w:pPr>
    <w:r>
      <w:rPr>
        <w:sz w:val="20"/>
      </w:rPr>
      <w:t>CNPJ</w:t>
    </w:r>
    <w:r w:rsidR="00947C23">
      <w:rPr>
        <w:sz w:val="20"/>
      </w:rPr>
      <w:t>: 75.801.738/0001-57</w:t>
    </w:r>
  </w:p>
  <w:p w:rsidR="00947C23" w:rsidRDefault="00947C23">
    <w:pPr>
      <w:pStyle w:val="Cabealho"/>
      <w:pBdr>
        <w:bottom w:val="single" w:sz="12" w:space="1" w:color="auto"/>
      </w:pBdr>
      <w:rPr>
        <w:sz w:val="2"/>
      </w:rPr>
    </w:pPr>
  </w:p>
  <w:p w:rsidR="00947C23" w:rsidRDefault="00947C2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3" w:rsidRDefault="00F4581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25.15pt;height:520.15pt;z-index:-251659264;mso-position-horizontal:center;mso-position-horizontal-relative:margin;mso-position-vertical:center;mso-position-vertical-relative:margin" o:allowincell="f">
          <v:imagedata r:id="rId1" o:title="Brasão Colori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CDB"/>
    <w:multiLevelType w:val="hybridMultilevel"/>
    <w:tmpl w:val="CA5849E2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CA2266"/>
    <w:multiLevelType w:val="hybridMultilevel"/>
    <w:tmpl w:val="1B82C2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3C05F7"/>
    <w:multiLevelType w:val="hybridMultilevel"/>
    <w:tmpl w:val="F072D8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AE6BF1"/>
    <w:multiLevelType w:val="hybridMultilevel"/>
    <w:tmpl w:val="9796F6B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C9"/>
    <w:rsid w:val="00075A07"/>
    <w:rsid w:val="000A2DF3"/>
    <w:rsid w:val="000A46C0"/>
    <w:rsid w:val="000C6CAE"/>
    <w:rsid w:val="000D41B2"/>
    <w:rsid w:val="001114A5"/>
    <w:rsid w:val="00150178"/>
    <w:rsid w:val="00174085"/>
    <w:rsid w:val="00192AC5"/>
    <w:rsid w:val="001A490F"/>
    <w:rsid w:val="001D6753"/>
    <w:rsid w:val="001E0CCE"/>
    <w:rsid w:val="001F46AB"/>
    <w:rsid w:val="001F60C6"/>
    <w:rsid w:val="00202797"/>
    <w:rsid w:val="00212237"/>
    <w:rsid w:val="00215B36"/>
    <w:rsid w:val="00216FC8"/>
    <w:rsid w:val="00220F61"/>
    <w:rsid w:val="002258DC"/>
    <w:rsid w:val="00230086"/>
    <w:rsid w:val="0023008A"/>
    <w:rsid w:val="00277B42"/>
    <w:rsid w:val="00290041"/>
    <w:rsid w:val="002A5B13"/>
    <w:rsid w:val="002B718B"/>
    <w:rsid w:val="002F3F19"/>
    <w:rsid w:val="002F6659"/>
    <w:rsid w:val="00301D91"/>
    <w:rsid w:val="00310EB2"/>
    <w:rsid w:val="00321051"/>
    <w:rsid w:val="00334115"/>
    <w:rsid w:val="00337E26"/>
    <w:rsid w:val="003448C0"/>
    <w:rsid w:val="00362965"/>
    <w:rsid w:val="00390348"/>
    <w:rsid w:val="003B3F32"/>
    <w:rsid w:val="003D7078"/>
    <w:rsid w:val="003E6282"/>
    <w:rsid w:val="0040647C"/>
    <w:rsid w:val="004B1006"/>
    <w:rsid w:val="004B4B82"/>
    <w:rsid w:val="004D781F"/>
    <w:rsid w:val="004D78B2"/>
    <w:rsid w:val="004E5A82"/>
    <w:rsid w:val="00522F88"/>
    <w:rsid w:val="00535BAC"/>
    <w:rsid w:val="00552B23"/>
    <w:rsid w:val="0057752D"/>
    <w:rsid w:val="005F4EA0"/>
    <w:rsid w:val="006019F4"/>
    <w:rsid w:val="00637382"/>
    <w:rsid w:val="00655649"/>
    <w:rsid w:val="00666F4B"/>
    <w:rsid w:val="00693C64"/>
    <w:rsid w:val="006A4409"/>
    <w:rsid w:val="006B3026"/>
    <w:rsid w:val="006D6F54"/>
    <w:rsid w:val="006F533F"/>
    <w:rsid w:val="007233E6"/>
    <w:rsid w:val="00726EEB"/>
    <w:rsid w:val="00740C32"/>
    <w:rsid w:val="0075388E"/>
    <w:rsid w:val="00775DC0"/>
    <w:rsid w:val="00782273"/>
    <w:rsid w:val="00784B50"/>
    <w:rsid w:val="007C0A7E"/>
    <w:rsid w:val="007C725E"/>
    <w:rsid w:val="007D14EC"/>
    <w:rsid w:val="007D7A74"/>
    <w:rsid w:val="007E7E84"/>
    <w:rsid w:val="0082165F"/>
    <w:rsid w:val="00855DE4"/>
    <w:rsid w:val="008569F2"/>
    <w:rsid w:val="008833C1"/>
    <w:rsid w:val="00891BE4"/>
    <w:rsid w:val="008C286F"/>
    <w:rsid w:val="008C77AB"/>
    <w:rsid w:val="008F1056"/>
    <w:rsid w:val="009142EA"/>
    <w:rsid w:val="00916792"/>
    <w:rsid w:val="00920878"/>
    <w:rsid w:val="00926308"/>
    <w:rsid w:val="00926B28"/>
    <w:rsid w:val="00927DC9"/>
    <w:rsid w:val="00937B4A"/>
    <w:rsid w:val="00942CB3"/>
    <w:rsid w:val="00947C23"/>
    <w:rsid w:val="00982429"/>
    <w:rsid w:val="00985487"/>
    <w:rsid w:val="009868E7"/>
    <w:rsid w:val="009868FD"/>
    <w:rsid w:val="009B17B1"/>
    <w:rsid w:val="009C5348"/>
    <w:rsid w:val="009E4802"/>
    <w:rsid w:val="009E5E97"/>
    <w:rsid w:val="00A106D4"/>
    <w:rsid w:val="00A20AB3"/>
    <w:rsid w:val="00A30A87"/>
    <w:rsid w:val="00A405B8"/>
    <w:rsid w:val="00AD3CFA"/>
    <w:rsid w:val="00AF7E9E"/>
    <w:rsid w:val="00B01BBF"/>
    <w:rsid w:val="00B05ACE"/>
    <w:rsid w:val="00B42450"/>
    <w:rsid w:val="00B525D8"/>
    <w:rsid w:val="00B52BFB"/>
    <w:rsid w:val="00B57802"/>
    <w:rsid w:val="00B64FD9"/>
    <w:rsid w:val="00B66360"/>
    <w:rsid w:val="00B706C5"/>
    <w:rsid w:val="00B7190A"/>
    <w:rsid w:val="00B765C0"/>
    <w:rsid w:val="00B83DCB"/>
    <w:rsid w:val="00B951AD"/>
    <w:rsid w:val="00BA7AAC"/>
    <w:rsid w:val="00BC4682"/>
    <w:rsid w:val="00BF20F4"/>
    <w:rsid w:val="00BF60D6"/>
    <w:rsid w:val="00C01234"/>
    <w:rsid w:val="00C26276"/>
    <w:rsid w:val="00C4123E"/>
    <w:rsid w:val="00C74E27"/>
    <w:rsid w:val="00C80BD7"/>
    <w:rsid w:val="00C858A2"/>
    <w:rsid w:val="00CC63E9"/>
    <w:rsid w:val="00CD3E06"/>
    <w:rsid w:val="00CF1972"/>
    <w:rsid w:val="00D109E4"/>
    <w:rsid w:val="00D22159"/>
    <w:rsid w:val="00D37995"/>
    <w:rsid w:val="00D5658A"/>
    <w:rsid w:val="00DB3BD7"/>
    <w:rsid w:val="00DC4AD6"/>
    <w:rsid w:val="00DD18DB"/>
    <w:rsid w:val="00E01880"/>
    <w:rsid w:val="00E03E44"/>
    <w:rsid w:val="00E2011A"/>
    <w:rsid w:val="00E23D0E"/>
    <w:rsid w:val="00E34130"/>
    <w:rsid w:val="00E36728"/>
    <w:rsid w:val="00E5631D"/>
    <w:rsid w:val="00EC6522"/>
    <w:rsid w:val="00EF70F8"/>
    <w:rsid w:val="00F14A27"/>
    <w:rsid w:val="00F210AA"/>
    <w:rsid w:val="00F34FC1"/>
    <w:rsid w:val="00F4464C"/>
    <w:rsid w:val="00F4581E"/>
    <w:rsid w:val="00F4686E"/>
    <w:rsid w:val="00F55144"/>
    <w:rsid w:val="00FA5D7C"/>
    <w:rsid w:val="00FB4C4C"/>
    <w:rsid w:val="00FB7D82"/>
    <w:rsid w:val="00FD3A61"/>
    <w:rsid w:val="00FE3438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078"/>
    <w:rPr>
      <w:sz w:val="28"/>
    </w:rPr>
  </w:style>
  <w:style w:type="paragraph" w:styleId="Ttulo1">
    <w:name w:val="heading 1"/>
    <w:basedOn w:val="Normal"/>
    <w:next w:val="Normal"/>
    <w:qFormat/>
    <w:rsid w:val="003D7078"/>
    <w:pPr>
      <w:keepNext/>
      <w:jc w:val="both"/>
      <w:outlineLvl w:val="0"/>
    </w:pPr>
    <w:rPr>
      <w:sz w:val="20"/>
      <w:u w:val="single"/>
    </w:rPr>
  </w:style>
  <w:style w:type="paragraph" w:styleId="Ttulo2">
    <w:name w:val="heading 2"/>
    <w:basedOn w:val="Normal"/>
    <w:next w:val="Normal"/>
    <w:qFormat/>
    <w:rsid w:val="003D707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707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D7078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3D7078"/>
    <w:pPr>
      <w:jc w:val="center"/>
    </w:pPr>
    <w:rPr>
      <w:rFonts w:ascii="Arial" w:hAnsi="Arial"/>
      <w:b/>
      <w:sz w:val="44"/>
      <w:u w:val="single"/>
    </w:rPr>
  </w:style>
  <w:style w:type="paragraph" w:styleId="Textodebalo">
    <w:name w:val="Balloon Text"/>
    <w:basedOn w:val="Normal"/>
    <w:semiHidden/>
    <w:rsid w:val="003D707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3D7078"/>
    <w:pPr>
      <w:pBdr>
        <w:top w:val="single" w:sz="6" w:space="1" w:color="auto"/>
        <w:left w:val="single" w:sz="6" w:space="3" w:color="auto"/>
        <w:bottom w:val="single" w:sz="6" w:space="11" w:color="auto"/>
        <w:right w:val="single" w:sz="6" w:space="4" w:color="auto"/>
      </w:pBdr>
      <w:shd w:val="clear" w:color="auto" w:fill="FFFFFF"/>
      <w:jc w:val="both"/>
    </w:pPr>
    <w:rPr>
      <w:rFonts w:ascii="Arial" w:hAnsi="Arial"/>
      <w:i/>
      <w:sz w:val="20"/>
    </w:rPr>
  </w:style>
  <w:style w:type="paragraph" w:styleId="Recuodecorpodetexto2">
    <w:name w:val="Body Text Indent 2"/>
    <w:basedOn w:val="Normal"/>
    <w:rsid w:val="003D7078"/>
    <w:pPr>
      <w:spacing w:after="120" w:line="480" w:lineRule="auto"/>
      <w:ind w:left="283"/>
    </w:pPr>
  </w:style>
  <w:style w:type="character" w:customStyle="1" w:styleId="tahoma111d2c541">
    <w:name w:val="tahoma_11_1d2c541"/>
    <w:basedOn w:val="Fontepargpadro"/>
    <w:rsid w:val="003D7078"/>
    <w:rPr>
      <w:rFonts w:ascii="Tahoma" w:hAnsi="Tahoma" w:cs="Tahoma" w:hint="default"/>
      <w:color w:val="1D2C54"/>
      <w:sz w:val="17"/>
      <w:szCs w:val="17"/>
    </w:rPr>
  </w:style>
  <w:style w:type="character" w:styleId="Forte">
    <w:name w:val="Strong"/>
    <w:basedOn w:val="Fontepargpadro"/>
    <w:qFormat/>
    <w:rsid w:val="003D7078"/>
    <w:rPr>
      <w:b/>
      <w:bCs/>
    </w:rPr>
  </w:style>
  <w:style w:type="paragraph" w:styleId="Corpodetexto2">
    <w:name w:val="Body Text 2"/>
    <w:basedOn w:val="Normal"/>
    <w:rsid w:val="003D7078"/>
    <w:pPr>
      <w:jc w:val="center"/>
    </w:pPr>
    <w:rPr>
      <w:rFonts w:ascii="Arial Black" w:hAnsi="Arial Black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078"/>
    <w:rPr>
      <w:sz w:val="28"/>
    </w:rPr>
  </w:style>
  <w:style w:type="paragraph" w:styleId="Ttulo1">
    <w:name w:val="heading 1"/>
    <w:basedOn w:val="Normal"/>
    <w:next w:val="Normal"/>
    <w:qFormat/>
    <w:rsid w:val="003D7078"/>
    <w:pPr>
      <w:keepNext/>
      <w:jc w:val="both"/>
      <w:outlineLvl w:val="0"/>
    </w:pPr>
    <w:rPr>
      <w:sz w:val="20"/>
      <w:u w:val="single"/>
    </w:rPr>
  </w:style>
  <w:style w:type="paragraph" w:styleId="Ttulo2">
    <w:name w:val="heading 2"/>
    <w:basedOn w:val="Normal"/>
    <w:next w:val="Normal"/>
    <w:qFormat/>
    <w:rsid w:val="003D707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707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D7078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3D7078"/>
    <w:pPr>
      <w:jc w:val="center"/>
    </w:pPr>
    <w:rPr>
      <w:rFonts w:ascii="Arial" w:hAnsi="Arial"/>
      <w:b/>
      <w:sz w:val="44"/>
      <w:u w:val="single"/>
    </w:rPr>
  </w:style>
  <w:style w:type="paragraph" w:styleId="Textodebalo">
    <w:name w:val="Balloon Text"/>
    <w:basedOn w:val="Normal"/>
    <w:semiHidden/>
    <w:rsid w:val="003D707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3D7078"/>
    <w:pPr>
      <w:pBdr>
        <w:top w:val="single" w:sz="6" w:space="1" w:color="auto"/>
        <w:left w:val="single" w:sz="6" w:space="3" w:color="auto"/>
        <w:bottom w:val="single" w:sz="6" w:space="11" w:color="auto"/>
        <w:right w:val="single" w:sz="6" w:space="4" w:color="auto"/>
      </w:pBdr>
      <w:shd w:val="clear" w:color="auto" w:fill="FFFFFF"/>
      <w:jc w:val="both"/>
    </w:pPr>
    <w:rPr>
      <w:rFonts w:ascii="Arial" w:hAnsi="Arial"/>
      <w:i/>
      <w:sz w:val="20"/>
    </w:rPr>
  </w:style>
  <w:style w:type="paragraph" w:styleId="Recuodecorpodetexto2">
    <w:name w:val="Body Text Indent 2"/>
    <w:basedOn w:val="Normal"/>
    <w:rsid w:val="003D7078"/>
    <w:pPr>
      <w:spacing w:after="120" w:line="480" w:lineRule="auto"/>
      <w:ind w:left="283"/>
    </w:pPr>
  </w:style>
  <w:style w:type="character" w:customStyle="1" w:styleId="tahoma111d2c541">
    <w:name w:val="tahoma_11_1d2c541"/>
    <w:basedOn w:val="Fontepargpadro"/>
    <w:rsid w:val="003D7078"/>
    <w:rPr>
      <w:rFonts w:ascii="Tahoma" w:hAnsi="Tahoma" w:cs="Tahoma" w:hint="default"/>
      <w:color w:val="1D2C54"/>
      <w:sz w:val="17"/>
      <w:szCs w:val="17"/>
    </w:rPr>
  </w:style>
  <w:style w:type="character" w:styleId="Forte">
    <w:name w:val="Strong"/>
    <w:basedOn w:val="Fontepargpadro"/>
    <w:qFormat/>
    <w:rsid w:val="003D7078"/>
    <w:rPr>
      <w:b/>
      <w:bCs/>
    </w:rPr>
  </w:style>
  <w:style w:type="paragraph" w:styleId="Corpodetexto2">
    <w:name w:val="Body Text 2"/>
    <w:basedOn w:val="Normal"/>
    <w:rsid w:val="003D7078"/>
    <w:pPr>
      <w:jc w:val="center"/>
    </w:pPr>
    <w:rPr>
      <w:rFonts w:ascii="Arial Black" w:hAnsi="Arial Black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PROCURAÇÃO</vt:lpstr>
    </vt:vector>
  </TitlesOfParts>
  <Company>ME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PROCURAÇÃO</dc:title>
  <dc:creator>micro02</dc:creator>
  <cp:lastModifiedBy>Recepção</cp:lastModifiedBy>
  <cp:revision>2</cp:revision>
  <cp:lastPrinted>2019-02-28T18:30:00Z</cp:lastPrinted>
  <dcterms:created xsi:type="dcterms:W3CDTF">2019-03-11T17:21:00Z</dcterms:created>
  <dcterms:modified xsi:type="dcterms:W3CDTF">2019-03-11T17:21:00Z</dcterms:modified>
</cp:coreProperties>
</file>